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63" w:rsidRPr="008D019C" w:rsidRDefault="00ED3A63" w:rsidP="00ED3A63">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569"/>
        <w:gridCol w:w="3972"/>
      </w:tblGrid>
      <w:tr w:rsidR="00ED3A63" w:rsidRPr="008D019C" w:rsidTr="00DB019E">
        <w:trPr>
          <w:tblCellSpacing w:w="15" w:type="dxa"/>
        </w:trPr>
        <w:tc>
          <w:tcPr>
            <w:tcW w:w="0" w:type="auto"/>
            <w:shd w:val="clear" w:color="auto" w:fill="990000"/>
            <w:vAlign w:val="center"/>
            <w:hideMark/>
          </w:tcPr>
          <w:p w:rsidR="00ED3A63" w:rsidRPr="008D019C" w:rsidRDefault="00ED3A63" w:rsidP="00ED3A63">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 xml:space="preserve">BCG </w:t>
            </w:r>
          </w:p>
        </w:tc>
        <w:tc>
          <w:tcPr>
            <w:tcW w:w="0" w:type="auto"/>
            <w:vAlign w:val="center"/>
            <w:hideMark/>
          </w:tcPr>
          <w:p w:rsidR="00ED3A63" w:rsidRPr="008D019C" w:rsidRDefault="00ED3A63" w:rsidP="00DB019E">
            <w:pPr>
              <w:spacing w:after="0" w:line="240" w:lineRule="auto"/>
              <w:rPr>
                <w:rFonts w:ascii="Times New Roman" w:eastAsia="Times New Roman" w:hAnsi="Times New Roman" w:cs="Times New Roman"/>
                <w:color w:val="000000"/>
                <w:sz w:val="24"/>
                <w:szCs w:val="24"/>
                <w:lang w:eastAsia="fr-FR"/>
              </w:rPr>
            </w:pPr>
            <w:r w:rsidRPr="008D019C">
              <w:rPr>
                <w:rFonts w:ascii="Verdana" w:eastAsia="Times New Roman" w:hAnsi="Verdana" w:cs="Times New Roman"/>
                <w:b/>
                <w:bCs/>
                <w:color w:val="990000"/>
                <w:sz w:val="24"/>
                <w:szCs w:val="24"/>
                <w:lang w:eastAsia="fr-FR"/>
              </w:rPr>
              <w:t>EFFETS INDÉSIRABLES</w:t>
            </w:r>
            <w:r w:rsidRPr="008D019C">
              <w:rPr>
                <w:rFonts w:ascii="Times New Roman" w:eastAsia="Times New Roman" w:hAnsi="Times New Roman" w:cs="Times New Roman"/>
                <w:color w:val="000000"/>
                <w:sz w:val="24"/>
                <w:szCs w:val="24"/>
                <w:lang w:eastAsia="fr-FR"/>
              </w:rPr>
              <w:t> </w:t>
            </w:r>
            <w:hyperlink w:anchor="pub" w:history="1">
              <w:r w:rsidRPr="008D019C">
                <w:rPr>
                  <w:rFonts w:ascii="Arial" w:eastAsia="Times New Roman" w:hAnsi="Arial" w:cs="Arial"/>
                  <w:color w:val="0000FF"/>
                  <w:sz w:val="20"/>
                  <w:u w:val="single"/>
                  <w:vertAlign w:val="superscript"/>
                  <w:lang w:eastAsia="fr-FR"/>
                </w:rPr>
                <w:t>(début page)</w:t>
              </w:r>
            </w:hyperlink>
            <w:r w:rsidRPr="008D019C">
              <w:rPr>
                <w:rFonts w:ascii="Times New Roman" w:eastAsia="Times New Roman" w:hAnsi="Times New Roman" w:cs="Times New Roman"/>
                <w:color w:val="000000"/>
                <w:sz w:val="24"/>
                <w:szCs w:val="24"/>
                <w:lang w:eastAsia="fr-FR"/>
              </w:rPr>
              <w:t xml:space="preserve"> </w:t>
            </w:r>
          </w:p>
        </w:tc>
      </w:tr>
    </w:tbl>
    <w:p w:rsidR="00ED3A63" w:rsidRPr="008D019C" w:rsidRDefault="00ED3A63" w:rsidP="00ED3A63">
      <w:pPr>
        <w:spacing w:after="24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La réaction attendue après vaccination avec Vaccin BCG SSI inclut une induration au site d'injection, suivie d'une lésion locale pouvant s'ulcérer quelques semaines plus tard et cicatriser après quelques mois, laissant une petite cicatrice plate. Elle peut également induire le développement d'un ganglion lymphatique régional de moins de 1 cm.</w:t>
      </w:r>
      <w:r w:rsidRPr="008D019C">
        <w:rPr>
          <w:rFonts w:ascii="Times New Roman" w:eastAsia="Times New Roman" w:hAnsi="Times New Roman" w:cs="Times New Roman"/>
          <w:color w:val="000000"/>
          <w:sz w:val="24"/>
          <w:szCs w:val="24"/>
          <w:lang w:eastAsia="fr-FR"/>
        </w:rPr>
        <w:br/>
        <w:t>Une sensibilité ou un érythème peuvent apparaître au niveau du site d'injection.</w:t>
      </w:r>
      <w:r w:rsidRPr="008D019C">
        <w:rPr>
          <w:rFonts w:ascii="Times New Roman" w:eastAsia="Times New Roman" w:hAnsi="Times New Roman" w:cs="Times New Roman"/>
          <w:color w:val="000000"/>
          <w:sz w:val="24"/>
          <w:szCs w:val="24"/>
          <w:lang w:eastAsia="fr-FR"/>
        </w:rPr>
        <w:br/>
        <w:t>Les effets indésirables du vaccin sont les suivants :</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82"/>
        <w:gridCol w:w="6449"/>
      </w:tblGrid>
      <w:tr w:rsidR="00ED3A63" w:rsidRPr="008D019C"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3A63" w:rsidRPr="008D019C" w:rsidRDefault="00ED3A63" w:rsidP="00DB019E">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 xml:space="preserve">Peu fréquent (&gt; 1/1000, &lt; 1/100) </w:t>
            </w:r>
          </w:p>
        </w:tc>
        <w:tc>
          <w:tcPr>
            <w:tcW w:w="0" w:type="auto"/>
            <w:tcBorders>
              <w:top w:val="outset" w:sz="6" w:space="0" w:color="auto"/>
              <w:left w:val="outset" w:sz="6" w:space="0" w:color="auto"/>
              <w:bottom w:val="outset" w:sz="6" w:space="0" w:color="auto"/>
              <w:right w:val="outset" w:sz="6" w:space="0" w:color="auto"/>
            </w:tcBorders>
            <w:hideMark/>
          </w:tcPr>
          <w:p w:rsidR="00ED3A63" w:rsidRPr="008D019C" w:rsidRDefault="00ED3A63" w:rsidP="00DB019E">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 Réaction générale : céphalée, fièvre</w:t>
            </w:r>
            <w:r w:rsidRPr="008D019C">
              <w:rPr>
                <w:rFonts w:ascii="Times New Roman" w:eastAsia="Times New Roman" w:hAnsi="Times New Roman" w:cs="Times New Roman"/>
                <w:color w:val="000000"/>
                <w:sz w:val="24"/>
                <w:szCs w:val="24"/>
                <w:lang w:eastAsia="fr-FR"/>
              </w:rPr>
              <w:br/>
              <w:t>- Réaction locale : ganglion lymphatique régional &gt; 1 cm, ulcération avec suppuration au site d'injection</w:t>
            </w:r>
          </w:p>
        </w:tc>
      </w:tr>
      <w:tr w:rsidR="00ED3A63" w:rsidRPr="008D019C"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3A63" w:rsidRPr="008D019C" w:rsidRDefault="00ED3A63" w:rsidP="00DB019E">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 xml:space="preserve">Rare (&lt; 1/1000) </w:t>
            </w:r>
          </w:p>
        </w:tc>
        <w:tc>
          <w:tcPr>
            <w:tcW w:w="0" w:type="auto"/>
            <w:tcBorders>
              <w:top w:val="outset" w:sz="6" w:space="0" w:color="auto"/>
              <w:left w:val="outset" w:sz="6" w:space="0" w:color="auto"/>
              <w:bottom w:val="outset" w:sz="6" w:space="0" w:color="auto"/>
              <w:right w:val="outset" w:sz="6" w:space="0" w:color="auto"/>
            </w:tcBorders>
            <w:hideMark/>
          </w:tcPr>
          <w:p w:rsidR="00ED3A63" w:rsidRPr="008D019C" w:rsidRDefault="00ED3A63" w:rsidP="00DB019E">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 xml:space="preserve">- Réaction générale : complication par dissémination du BCG telle </w:t>
            </w:r>
            <w:proofErr w:type="gramStart"/>
            <w:r w:rsidRPr="008D019C">
              <w:rPr>
                <w:rFonts w:ascii="Times New Roman" w:eastAsia="Times New Roman" w:hAnsi="Times New Roman" w:cs="Times New Roman"/>
                <w:color w:val="000000"/>
                <w:sz w:val="24"/>
                <w:szCs w:val="24"/>
                <w:lang w:eastAsia="fr-FR"/>
              </w:rPr>
              <w:t>que ostéite ou ostéomyélite</w:t>
            </w:r>
            <w:r w:rsidRPr="008D019C">
              <w:rPr>
                <w:rFonts w:ascii="Times New Roman" w:eastAsia="Times New Roman" w:hAnsi="Times New Roman" w:cs="Times New Roman"/>
                <w:color w:val="000000"/>
                <w:sz w:val="24"/>
                <w:szCs w:val="24"/>
                <w:lang w:eastAsia="fr-FR"/>
              </w:rPr>
              <w:br/>
              <w:t>- Réactions allergiques incluant des réactions anaphylactiques</w:t>
            </w:r>
            <w:r w:rsidRPr="008D019C">
              <w:rPr>
                <w:rFonts w:ascii="Times New Roman" w:eastAsia="Times New Roman" w:hAnsi="Times New Roman" w:cs="Times New Roman"/>
                <w:color w:val="000000"/>
                <w:sz w:val="24"/>
                <w:szCs w:val="24"/>
                <w:lang w:eastAsia="fr-FR"/>
              </w:rPr>
              <w:br/>
              <w:t>-</w:t>
            </w:r>
            <w:proofErr w:type="gramEnd"/>
            <w:r w:rsidRPr="008D019C">
              <w:rPr>
                <w:rFonts w:ascii="Times New Roman" w:eastAsia="Times New Roman" w:hAnsi="Times New Roman" w:cs="Times New Roman"/>
                <w:color w:val="000000"/>
                <w:sz w:val="24"/>
                <w:szCs w:val="24"/>
                <w:lang w:eastAsia="fr-FR"/>
              </w:rPr>
              <w:t xml:space="preserve"> Réaction locale : </w:t>
            </w:r>
            <w:proofErr w:type="spellStart"/>
            <w:r w:rsidRPr="008D019C">
              <w:rPr>
                <w:rFonts w:ascii="Times New Roman" w:eastAsia="Times New Roman" w:hAnsi="Times New Roman" w:cs="Times New Roman"/>
                <w:color w:val="000000"/>
                <w:sz w:val="24"/>
                <w:szCs w:val="24"/>
                <w:lang w:eastAsia="fr-FR"/>
              </w:rPr>
              <w:t>lymphadénite</w:t>
            </w:r>
            <w:proofErr w:type="spellEnd"/>
            <w:r w:rsidRPr="008D019C">
              <w:rPr>
                <w:rFonts w:ascii="Times New Roman" w:eastAsia="Times New Roman" w:hAnsi="Times New Roman" w:cs="Times New Roman"/>
                <w:color w:val="000000"/>
                <w:sz w:val="24"/>
                <w:szCs w:val="24"/>
                <w:lang w:eastAsia="fr-FR"/>
              </w:rPr>
              <w:t xml:space="preserve"> suppurative, abcès</w:t>
            </w:r>
          </w:p>
        </w:tc>
      </w:tr>
    </w:tbl>
    <w:p w:rsidR="00ED3A63" w:rsidRPr="008D019C" w:rsidRDefault="00ED3A63" w:rsidP="00ED3A63">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color w:val="000000"/>
          <w:sz w:val="24"/>
          <w:szCs w:val="24"/>
          <w:lang w:eastAsia="fr-FR"/>
        </w:rPr>
        <w:t xml:space="preserve">Apnée chez les grands prématurés (nés à 28 semaines de grossesse ou moins) : </w:t>
      </w:r>
      <w:proofErr w:type="spellStart"/>
      <w:r w:rsidRPr="008D019C">
        <w:rPr>
          <w:rFonts w:ascii="Times New Roman" w:eastAsia="Times New Roman" w:hAnsi="Times New Roman" w:cs="Times New Roman"/>
          <w:color w:val="000000"/>
          <w:sz w:val="24"/>
          <w:szCs w:val="24"/>
          <w:lang w:eastAsia="fr-FR"/>
        </w:rPr>
        <w:t>cf</w:t>
      </w:r>
      <w:proofErr w:type="spellEnd"/>
      <w:r w:rsidRPr="008D019C">
        <w:rPr>
          <w:rFonts w:ascii="Times New Roman" w:eastAsia="Times New Roman" w:hAnsi="Times New Roman" w:cs="Times New Roman"/>
          <w:color w:val="000000"/>
          <w:sz w:val="24"/>
          <w:szCs w:val="24"/>
          <w:lang w:eastAsia="fr-FR"/>
        </w:rPr>
        <w:t> Mises en garde et Précautions d'emploi.</w:t>
      </w:r>
      <w:r w:rsidRPr="008D019C">
        <w:rPr>
          <w:rFonts w:ascii="Times New Roman" w:eastAsia="Times New Roman" w:hAnsi="Times New Roman" w:cs="Times New Roman"/>
          <w:color w:val="000000"/>
          <w:sz w:val="24"/>
          <w:szCs w:val="24"/>
          <w:lang w:eastAsia="fr-FR"/>
        </w:rPr>
        <w:br/>
        <w:t>Quelques cas de syncope, d'épilepsie et de convulsion ont été rapportés lors de la surveillance après la commercialisation chez les patients ayant reçus des injections.</w:t>
      </w:r>
      <w:r w:rsidRPr="008D019C">
        <w:rPr>
          <w:rFonts w:ascii="Times New Roman" w:eastAsia="Times New Roman" w:hAnsi="Times New Roman" w:cs="Times New Roman"/>
          <w:color w:val="000000"/>
          <w:sz w:val="24"/>
          <w:szCs w:val="24"/>
          <w:lang w:eastAsia="fr-FR"/>
        </w:rPr>
        <w:br/>
        <w:t>Une réponse excessive au vaccin BCG SSI peut résulter en une ulcération suppurative. Ce risque peut être augmenté en cas d'injection sous-cutanée ou d'un surdosage. Il est vivement recommandé de laisser sécher l'ulcère et d'éviter tout frottement de la plaie (par exemple par le port de vêtements serrés).</w:t>
      </w:r>
      <w:r w:rsidRPr="008D019C">
        <w:rPr>
          <w:rFonts w:ascii="Times New Roman" w:eastAsia="Times New Roman" w:hAnsi="Times New Roman" w:cs="Times New Roman"/>
          <w:color w:val="000000"/>
          <w:sz w:val="24"/>
          <w:szCs w:val="24"/>
          <w:lang w:eastAsia="fr-FR"/>
        </w:rPr>
        <w:br/>
        <w:t>L'avis d'un expert doit être demandé pour la mise en place d'un traitement approprié pour les infections systémiques ou les infections locales persistantes suite à la vaccination avec Vaccin BCG SSI.</w:t>
      </w:r>
    </w:p>
    <w:p w:rsidR="00ED3A63" w:rsidRPr="008D019C" w:rsidRDefault="00ED3A63" w:rsidP="00ED3A63">
      <w:pPr>
        <w:spacing w:after="0" w:line="240" w:lineRule="auto"/>
        <w:rPr>
          <w:rFonts w:ascii="Times New Roman" w:eastAsia="Times New Roman" w:hAnsi="Times New Roman" w:cs="Times New Roman"/>
          <w:color w:val="000000"/>
          <w:sz w:val="24"/>
          <w:szCs w:val="24"/>
          <w:lang w:eastAsia="fr-FR"/>
        </w:rPr>
      </w:pPr>
      <w:r w:rsidRPr="008D019C">
        <w:rPr>
          <w:rFonts w:ascii="Times New Roman" w:eastAsia="Times New Roman" w:hAnsi="Times New Roman" w:cs="Times New Roman"/>
          <w:i/>
          <w:iCs/>
          <w:color w:val="000000"/>
          <w:sz w:val="24"/>
          <w:szCs w:val="24"/>
          <w:lang w:eastAsia="fr-FR"/>
        </w:rPr>
        <w:t>Sensibilité de la souche BCG aux antibiotiques :</w:t>
      </w:r>
      <w:r w:rsidRPr="008D019C">
        <w:rPr>
          <w:rFonts w:ascii="Times New Roman" w:eastAsia="Times New Roman" w:hAnsi="Times New Roman" w:cs="Times New Roman"/>
          <w:color w:val="000000"/>
          <w:sz w:val="24"/>
          <w:szCs w:val="24"/>
          <w:lang w:eastAsia="fr-FR"/>
        </w:rPr>
        <w:t xml:space="preserve"> </w:t>
      </w:r>
    </w:p>
    <w:p w:rsidR="00DE34F8" w:rsidRDefault="00ED3A63" w:rsidP="00ED3A63">
      <w:r w:rsidRPr="008D019C">
        <w:rPr>
          <w:rFonts w:ascii="Times New Roman" w:eastAsia="Times New Roman" w:hAnsi="Times New Roman" w:cs="Times New Roman"/>
          <w:color w:val="000000"/>
          <w:sz w:val="24"/>
          <w:szCs w:val="24"/>
          <w:lang w:eastAsia="fr-FR"/>
        </w:rPr>
        <w:t xml:space="preserve">La rubrique Pharmacodynamie comprend un tableau avec les concentrations minimales inhibitrices (CMI) pour les médicaments antituberculeux sélectionnés envers la souche BCG danoise 1331 [tel que déterminé par </w:t>
      </w:r>
      <w:proofErr w:type="spellStart"/>
      <w:r w:rsidRPr="008D019C">
        <w:rPr>
          <w:rFonts w:ascii="Times New Roman" w:eastAsia="Times New Roman" w:hAnsi="Times New Roman" w:cs="Times New Roman"/>
          <w:color w:val="000000"/>
          <w:sz w:val="24"/>
          <w:szCs w:val="24"/>
          <w:lang w:eastAsia="fr-FR"/>
        </w:rPr>
        <w:t>Bactec</w:t>
      </w:r>
      <w:proofErr w:type="spellEnd"/>
      <w:r w:rsidRPr="008D019C">
        <w:rPr>
          <w:rFonts w:ascii="Times New Roman" w:eastAsia="Times New Roman" w:hAnsi="Times New Roman" w:cs="Times New Roman"/>
          <w:color w:val="000000"/>
          <w:sz w:val="24"/>
          <w:szCs w:val="24"/>
          <w:lang w:eastAsia="fr-FR"/>
        </w:rPr>
        <w:t xml:space="preserve"> 460]. La CMI pour l'isoniazide est de 0,4 mg/l. Il n'existe pas de consensus permettant de déterminer si </w:t>
      </w:r>
      <w:proofErr w:type="spellStart"/>
      <w:r w:rsidRPr="008D019C">
        <w:rPr>
          <w:rFonts w:ascii="Times New Roman" w:eastAsia="Times New Roman" w:hAnsi="Times New Roman" w:cs="Times New Roman"/>
          <w:color w:val="000000"/>
          <w:sz w:val="24"/>
          <w:szCs w:val="24"/>
          <w:lang w:eastAsia="fr-FR"/>
        </w:rPr>
        <w:t>Mycobacterium</w:t>
      </w:r>
      <w:proofErr w:type="spellEnd"/>
      <w:r w:rsidRPr="008D019C">
        <w:rPr>
          <w:rFonts w:ascii="Times New Roman" w:eastAsia="Times New Roman" w:hAnsi="Times New Roman" w:cs="Times New Roman"/>
          <w:color w:val="000000"/>
          <w:sz w:val="24"/>
          <w:szCs w:val="24"/>
          <w:lang w:eastAsia="fr-FR"/>
        </w:rPr>
        <w:t xml:space="preserve"> </w:t>
      </w:r>
      <w:proofErr w:type="spellStart"/>
      <w:r w:rsidRPr="008D019C">
        <w:rPr>
          <w:rFonts w:ascii="Times New Roman" w:eastAsia="Times New Roman" w:hAnsi="Times New Roman" w:cs="Times New Roman"/>
          <w:color w:val="000000"/>
          <w:sz w:val="24"/>
          <w:szCs w:val="24"/>
          <w:lang w:eastAsia="fr-FR"/>
        </w:rPr>
        <w:t>bovis</w:t>
      </w:r>
      <w:proofErr w:type="spellEnd"/>
      <w:r w:rsidRPr="008D019C">
        <w:rPr>
          <w:rFonts w:ascii="Times New Roman" w:eastAsia="Times New Roman" w:hAnsi="Times New Roman" w:cs="Times New Roman"/>
          <w:color w:val="000000"/>
          <w:sz w:val="24"/>
          <w:szCs w:val="24"/>
          <w:lang w:eastAsia="fr-FR"/>
        </w:rPr>
        <w:t xml:space="preserve"> doit être classé comme sensible, moyennement sensible ou résistant à l'isoniazide lorsque le CMI est de 0,4 mg/l. Cependant, d'après les différents critères applicables à </w:t>
      </w:r>
      <w:proofErr w:type="spellStart"/>
      <w:r w:rsidRPr="008D019C">
        <w:rPr>
          <w:rFonts w:ascii="Times New Roman" w:eastAsia="Times New Roman" w:hAnsi="Times New Roman" w:cs="Times New Roman"/>
          <w:color w:val="000000"/>
          <w:sz w:val="24"/>
          <w:szCs w:val="24"/>
          <w:lang w:eastAsia="fr-FR"/>
        </w:rPr>
        <w:t>Mycobacterium</w:t>
      </w:r>
      <w:proofErr w:type="spellEnd"/>
      <w:r w:rsidRPr="008D019C">
        <w:rPr>
          <w:rFonts w:ascii="Times New Roman" w:eastAsia="Times New Roman" w:hAnsi="Times New Roman" w:cs="Times New Roman"/>
          <w:color w:val="000000"/>
          <w:sz w:val="24"/>
          <w:szCs w:val="24"/>
          <w:lang w:eastAsia="fr-FR"/>
        </w:rPr>
        <w:t xml:space="preserve"> </w:t>
      </w:r>
      <w:proofErr w:type="spellStart"/>
      <w:r w:rsidRPr="008D019C">
        <w:rPr>
          <w:rFonts w:ascii="Times New Roman" w:eastAsia="Times New Roman" w:hAnsi="Times New Roman" w:cs="Times New Roman"/>
          <w:color w:val="000000"/>
          <w:sz w:val="24"/>
          <w:szCs w:val="24"/>
          <w:lang w:eastAsia="fr-FR"/>
        </w:rPr>
        <w:t>tuberculosis</w:t>
      </w:r>
      <w:proofErr w:type="spellEnd"/>
      <w:r w:rsidRPr="008D019C">
        <w:rPr>
          <w:rFonts w:ascii="Times New Roman" w:eastAsia="Times New Roman" w:hAnsi="Times New Roman" w:cs="Times New Roman"/>
          <w:color w:val="000000"/>
          <w:sz w:val="24"/>
          <w:szCs w:val="24"/>
          <w:lang w:eastAsia="fr-FR"/>
        </w:rPr>
        <w:t xml:space="preserve">, la souche </w:t>
      </w:r>
      <w:proofErr w:type="spellStart"/>
      <w:r w:rsidRPr="008D019C">
        <w:rPr>
          <w:rFonts w:ascii="Times New Roman" w:eastAsia="Times New Roman" w:hAnsi="Times New Roman" w:cs="Times New Roman"/>
          <w:color w:val="000000"/>
          <w:sz w:val="24"/>
          <w:szCs w:val="24"/>
          <w:lang w:eastAsia="fr-FR"/>
        </w:rPr>
        <w:t>Mycobacterium</w:t>
      </w:r>
      <w:proofErr w:type="spellEnd"/>
      <w:r w:rsidRPr="008D019C">
        <w:rPr>
          <w:rFonts w:ascii="Times New Roman" w:eastAsia="Times New Roman" w:hAnsi="Times New Roman" w:cs="Times New Roman"/>
          <w:color w:val="000000"/>
          <w:sz w:val="24"/>
          <w:szCs w:val="24"/>
          <w:lang w:eastAsia="fr-FR"/>
        </w:rPr>
        <w:t xml:space="preserve"> </w:t>
      </w:r>
      <w:proofErr w:type="spellStart"/>
      <w:r w:rsidRPr="008D019C">
        <w:rPr>
          <w:rFonts w:ascii="Times New Roman" w:eastAsia="Times New Roman" w:hAnsi="Times New Roman" w:cs="Times New Roman"/>
          <w:color w:val="000000"/>
          <w:sz w:val="24"/>
          <w:szCs w:val="24"/>
          <w:lang w:eastAsia="fr-FR"/>
        </w:rPr>
        <w:t>bovis</w:t>
      </w:r>
      <w:proofErr w:type="spellEnd"/>
      <w:r w:rsidRPr="008D019C">
        <w:rPr>
          <w:rFonts w:ascii="Times New Roman" w:eastAsia="Times New Roman" w:hAnsi="Times New Roman" w:cs="Times New Roman"/>
          <w:color w:val="000000"/>
          <w:sz w:val="24"/>
          <w:szCs w:val="24"/>
          <w:lang w:eastAsia="fr-FR"/>
        </w:rPr>
        <w:t xml:space="preserve"> pourrait être considérée comme moyennement sensible</w:t>
      </w:r>
    </w:p>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D3A63"/>
    <w:rsid w:val="00017B31"/>
    <w:rsid w:val="0006330F"/>
    <w:rsid w:val="0009769E"/>
    <w:rsid w:val="000C4178"/>
    <w:rsid w:val="00120A2B"/>
    <w:rsid w:val="001931B1"/>
    <w:rsid w:val="001A53D5"/>
    <w:rsid w:val="001B3E26"/>
    <w:rsid w:val="00282113"/>
    <w:rsid w:val="003164DC"/>
    <w:rsid w:val="00370323"/>
    <w:rsid w:val="004276C2"/>
    <w:rsid w:val="004771A7"/>
    <w:rsid w:val="00587FAE"/>
    <w:rsid w:val="00591C42"/>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D3A63"/>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2013-02-26T14:45:00Z</dcterms:created>
  <dcterms:modified xsi:type="dcterms:W3CDTF">2013-02-26T14:45:00Z</dcterms:modified>
</cp:coreProperties>
</file>